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1147"/>
      </w:tblGrid>
      <w:tr w:rsidR="004A5D2D">
        <w:trPr>
          <w:trHeight w:hRule="exact" w:val="573"/>
        </w:trPr>
        <w:tc>
          <w:tcPr>
            <w:tcW w:w="15618" w:type="dxa"/>
            <w:gridSpan w:val="35"/>
          </w:tcPr>
          <w:p w:rsidR="004A5D2D" w:rsidRDefault="004A5D2D">
            <w:bookmarkStart w:id="0" w:name="_GoBack"/>
            <w:bookmarkEnd w:id="0"/>
          </w:p>
        </w:tc>
      </w:tr>
      <w:tr w:rsidR="004A5D2D">
        <w:trPr>
          <w:trHeight w:hRule="exact" w:val="387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A5D2D">
        <w:trPr>
          <w:trHeight w:hRule="exact" w:val="43"/>
        </w:trPr>
        <w:tc>
          <w:tcPr>
            <w:tcW w:w="15618" w:type="dxa"/>
            <w:gridSpan w:val="35"/>
          </w:tcPr>
          <w:p w:rsidR="004A5D2D" w:rsidRDefault="004A5D2D"/>
        </w:tc>
      </w:tr>
      <w:tr w:rsidR="004A5D2D">
        <w:trPr>
          <w:trHeight w:hRule="exact" w:val="387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A5D2D">
        <w:trPr>
          <w:trHeight w:hRule="exact" w:val="43"/>
        </w:trPr>
        <w:tc>
          <w:tcPr>
            <w:tcW w:w="15618" w:type="dxa"/>
            <w:gridSpan w:val="35"/>
          </w:tcPr>
          <w:p w:rsidR="004A5D2D" w:rsidRDefault="004A5D2D"/>
        </w:tc>
      </w:tr>
      <w:tr w:rsidR="004A5D2D">
        <w:trPr>
          <w:trHeight w:hRule="exact" w:val="573"/>
        </w:trPr>
        <w:tc>
          <w:tcPr>
            <w:tcW w:w="15618" w:type="dxa"/>
            <w:gridSpan w:val="3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Современная школа (Ямало-Ненецкий автономный округ)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A5D2D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</w:t>
            </w:r>
          </w:p>
        </w:tc>
      </w:tr>
      <w:tr w:rsidR="004A5D2D">
        <w:trPr>
          <w:trHeight w:hRule="exact" w:val="574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(Ямало-Ненецкий автономный округ)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01.11.2018 - 31.12.2024</w:t>
            </w:r>
          </w:p>
        </w:tc>
      </w:tr>
      <w:tr w:rsidR="004A5D2D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Бучкова Татьяна Викторовна, Заместитель Губернатора Ямало-Ненецкого автономного округа</w:t>
            </w:r>
          </w:p>
        </w:tc>
      </w:tr>
      <w:tr w:rsidR="004A5D2D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Марина Владимировна, Директор департамента образования Ямало-Ненецкого автономного округа</w:t>
            </w:r>
          </w:p>
        </w:tc>
      </w:tr>
      <w:tr w:rsidR="004A5D2D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Яна Александровна, заместитель директора департамента – начальник управления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иональной политики в сфере образования департамента образования Ямало-Ненецкого автономного округа</w:t>
            </w:r>
          </w:p>
        </w:tc>
      </w:tr>
      <w:tr w:rsidR="004A5D2D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Ямало-Ненецкого автономного округа "Развитие образования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14 - 2021 годы"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4A5D2D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4A5D2D">
        <w:trPr>
          <w:trHeight w:hRule="exact" w:val="124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 (Ямало-Ненецкий автономный округ)</w:t>
            </w:r>
          </w:p>
        </w:tc>
      </w:tr>
      <w:tr w:rsidR="004A5D2D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A5D2D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A5D2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</w:tr>
      <w:tr w:rsidR="004A5D2D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1,1765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тыс. единиц </w:t>
            </w:r>
          </w:p>
        </w:tc>
      </w:tr>
      <w:tr w:rsidR="004A5D2D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тыс. единиц , ТЫС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0,0080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0,0450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0,0560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0,0660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4A5D2D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4A5D2D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</w:tr>
      <w:tr w:rsidR="004A5D2D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обучающихся, охваченных основными и дополнительными общеобразовательным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программами цифрового, естественнонаучного и гуманитарного профилей, тыс. человек , ТЫС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2,1000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9,2000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4A5D2D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-</w:t>
            </w:r>
          </w:p>
          <w:p w:rsidR="004A5D2D" w:rsidRDefault="004A5D2D"/>
        </w:tc>
      </w:tr>
      <w:tr w:rsidR="004A5D2D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100% организаций, реализующих общеобразовательные программы, проведена оценка качества образования на основе практики международных исследований качество подготовки обучающихся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30.04.2020 - 15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30.04.2021 - 25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30.04.2022 -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50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30.04.2023 - 75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30.04.2024 - 100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муниципальных образований Ямало-Ненецкого автономного округа, в которых обновлено содержание и методы обучения предметной области «Технология» и других предметных областей, %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01.12.2019 - 2 -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01.12.2020 - 4 -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01.12.2021 - 6 -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01.12.2022 - 8 -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01.12.2023 - 10 -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01.12.2024 - 13 -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обучающихся общеобразовательных организаций Ямало-Ненецкого автономного округа вовлечены в различные формы сопровождения и наставничества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01.12.2019 - 3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01.12.2020 - 10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01.12.2021 - 20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01.12.2022 - 35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01.12.2023 - 50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 Ямало-Ненецкого автономного округа,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31.12.2019 - 3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31.12.2021 - 20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31.12.2022 - 35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31.12.2023 - 50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в 70% общеобразовательных организаций Ямало-Ненецкого автономного округа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льной организации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31.12.2019 - 3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31.12.2021 - 20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31.12.2022 - 35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31.12.2023 - 50 ПРОЦ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24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рального проекта): 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кта (справочно из паспорта федерального проекта):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Сформирована система мероприятий по формированию новых условий реализации предметной области "Технология" и других предметных областей, в том числе: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 перечень субъектов Российской Федерации, реализующих мероприятия по освоению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 отбор через профильную информационную систему результатов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еального сектора экономики, потенциально пригодных для реализации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областей;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сформированы методические рекомендации освоения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других предметных областей на базе организац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обеспечено обновление содержания примерных общеобразовательных программ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2019 года не менее чем в 10 субъектах Российск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ой Федерации изучение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"Кванториум", с привлечением обучающихся школ различного типа, в том числе школ, рабо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тающих в неблагоприятных социальных условиях.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4A5D2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4A5D2D" w:rsidRDefault="004A5D2D"/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Сформирована система мероприятий по формированию 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 условий реализации предметной области "Технология" и других предметных областей, в том числе: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 перечень субъектов Российской Федерации, реализующих мероприятия по освоению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на базе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осуществлен отбор через профильную информационную систему результатов инвентаризации инфраструктурных, материально-технических и кадровых ресурсов организаций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областей; сформированы методические рекоме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ндации освоения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обеспечено обновление содержания примерных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к концу 2019 года не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менее чем в 10 субъектах Российской Федерации изучение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"Кванториум",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4A5D2D" w:rsidRDefault="004A5D2D"/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 по адаптированным основным общеобразовательным программам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По итогам отбора предоставлены субсидии из федерального бюджета бюджетам субъектов Российской Феде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рации на финансовое обеспечение мероприятий по обновлению материально-технической базы, в том числе для реализации предметной области "Технология" и других предметных областей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Сформированы методические рекомендации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азовательным программам,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учетом необходимости обеспечения условий для обновления содержания и совершенствования методов обучения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областей.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мониторинг реализации мероприятий по обновлению мате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риально-технической базы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со сформированными методическими рекомендациями.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обновление содержания образоват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ельных программ, в том числе по предметной области "Технология" и другим предметным областям, методик преподавания и оценивания результатов освоения образовательных программ, дизайна инфраструктуры, перечня учебного оборудования и учебно-методических компл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обучающимися соответствующих образовательных программ в соответствии с характеристиками результатов.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2019 года не менее чем в 236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  <w:szCs w:val="24"/>
              </w:rPr>
              <w:t>Значение количества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исключительно по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в которых будет обновлена материально-техническая база, 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чение соответствующих мероприятий.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4A5D2D" w:rsidRDefault="004A5D2D"/>
        </w:tc>
      </w:tr>
      <w:tr w:rsidR="004A5D2D">
        <w:trPr>
          <w:trHeight w:hRule="exact" w:val="25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5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базы, в том числе для реализации предметной области "Технология" и других пр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едметных областей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. Сформированы методические рекомендации по материально-техническому оснащению и обновлению содержания образования в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 xml:space="preserve">адаптированным общеобразовательным программам,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с учетом необходимости обеспечения условий для обновления содержания и совершенствования методов обучения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>предметной области "Техноло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 xml:space="preserve">гия"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и других предметных областей.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мониторинг реализации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ствии со сформированными методическими рекомендациями.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обновление содержания образовательных программ, в том числе по предметной области "Технология" и другим предметным областям, методик преподавания и оценивания результатов освоения образоват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ежегодный мониторинг по оценке качества изменений в освоении обучающимися соответствующих образовательных программ в соответствии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характеристиками результатов.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2019 года не менее чем в 130 организациях, осу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</w:p>
          <w:p w:rsidR="004A5D2D" w:rsidRDefault="004A5D2D"/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8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и </w:t>
            </w:r>
          </w:p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): По итогам отбора предоставлены субсидии из федерального бюджета бюджетам субъектов Российской Федерации на создание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технического, естественнон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аучного и гуманитарного профилей в школах, расположенных в сельской местности и малых городах.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 и гуманитарного профилей, в 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числе технического и естественнонаучного, в школах, расположенных в сельской местности и малых городах, в том числе школах, работающих в неблагоприятных социальных условиях.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образовательных программ, методик преподавания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оценивания результатов освоения образовательных программ, дизайна инфраструктуры, перечня средств обучения и учебно-методических комплексов.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программ в соответствии с характеристиками результатов.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чем в 16 тыс. школ, расположенных в сельской местности и малых городах, не менее чем в 80 субъектах Российской Федерации создана материально-техническая база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ации основных и дополнительных общеобразовательных программ цифрового,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естественнонаучного, технического и гуманитарного профилей, с охватом не менее 800 тыс. детей, в том числе в школах, работающих в неблагоприятных социальных условиях, в том числе: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 году - в не менее, чем 2 тыс. школ с охватом не менее 100 тыс. детей;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 - в не менее, чем 5 тыс. школ с охватом не менее 250 тыс. детей;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 в не менее, чем 8 тыс. школ с охватом не менее 400 тыс. детей;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2022 году - в не менее, чем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 тыс. школ с охватом не менее 550 тыс. детей;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 в не менее, чем 13,5 тыс. школ с охватом не менее 700 тыс. детей.</w:t>
            </w: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  <w:szCs w:val="24"/>
              </w:rPr>
              <w:t>Значение количества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в которых создается материально-техническая база для реализации основных и дополнительных общеоб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разовательных программ цифрового и гуманитарного профилей, в том числе технического и естественнонаучного, в школах, расположенных в сельской местности и малых городах, подлежит ежегодному уточнению по итогам проведения отборов на предоставление субсидии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 федерального бюджета бюджетам субъектов Российской Федерации на финансовое обеспечение соответствующих мероприятий.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4A5D2D"/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4A5D2D" w:rsidRDefault="004A5D2D"/>
        </w:tc>
      </w:tr>
      <w:tr w:rsidR="004A5D2D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По итогам отбора предоставлены субсидии из федерального бюджета бюджетам субъектов Российской Федерации на создание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городах.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и заключение соглашений с высшими исполнительны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методических комплексов.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2019 года не менее чем в 2 тыс. школ, расположенных в сельской местности и малых городах, не менее чем в 10 субъ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ектах Российской Федерации создана материально-техническая база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100 тыс. детей, созданы </w:t>
            </w:r>
          </w:p>
          <w:p w:rsidR="004A5D2D" w:rsidRDefault="004A5D2D"/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31.12.2019 - 0.008 ТЫС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31.12.2020 - 0.008 ТЫС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31.12.2021 - 0.008 ТЫС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31.12.2022 - 0.008 ТЫС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31.12.2023 - 0.008 ТЫС ЕД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31.12.2024 - 0.008 ТЫС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4A5D2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условия для реализации дистанционных программ обучения, в том числе на базе сетевых форм.</w:t>
            </w:r>
          </w:p>
          <w:p w:rsidR="004A5D2D" w:rsidRDefault="004A5D2D"/>
        </w:tc>
      </w:tr>
      <w:tr w:rsidR="004A5D2D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Обеспечение устойчивого развития сельских территорий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 Реализованы мероприятия, направ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ленные на создание новых мест в общеобразовательных организациях, расположенных в сельской местности, государственных программ субъектов Российской Федерации (подпрограмм государственных программ субъектов Российской Федерации, региональных проектов), путе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предоставления субсидий из федерального бюджета бюджетам субъектов Российской Федерации, что позволит до конца 2022 года построить общеобразовательные организации в сельской местности с мощностью не менее 320 мест в общеобразовательных организациях.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(справочно из паспорта федерального проекта): 31.12.2022</w:t>
            </w:r>
          </w:p>
          <w:p w:rsidR="004A5D2D" w:rsidRDefault="004A5D2D"/>
        </w:tc>
      </w:tr>
      <w:tr w:rsidR="004A5D2D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устойчивого развития сельских территорий 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97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МЕСТ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МЕСТ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31.12.2022 - 800 МЕСТ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К концу 2021 года во всех субъектах Российской Федерации для педагогических работников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других предметных областей естественнонаучной и технической направленностей функционирует система повышения квалификации на базе орга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низаций, осуществляющих образовательную деятельность по образовательным программам среднего профессионального и высшего образования, детских технопарков "Кванториум", предприятий реального сектора экономики, при этом в 2022-2024 годы обеспечены разработка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новых образовательных программ дополнительного профессионального образования (в том числе в рамках мероприятий федерального проекта "Учитель будущего"), выявление и распространение лучших практик переподготовки педагогических работников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"Технология"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других предметных областей естественнонаучной и технической направленностей.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изменений в освоении обучающимися соответствующих образовательных программ, с учетом повышения квалификации педагогических работников.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01.09.2024</w:t>
            </w:r>
          </w:p>
          <w:p w:rsidR="004A5D2D" w:rsidRDefault="004A5D2D"/>
        </w:tc>
      </w:tr>
      <w:tr w:rsidR="004A5D2D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01.09.2021 - 1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сийской Федерации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К концу 2022 года внедрены обновленные примерные основные общеобразовательные программы, разработанные в рамках федерального проекта, в общеобраз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овательные организации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всех 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нию главных целевых установок реализации настоящего федерального проекта и национального проекта "Образование" в целом.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бований к результатам освоения образовательной программы общего образования.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31.12.2022</w:t>
            </w:r>
          </w:p>
          <w:p w:rsidR="004A5D2D" w:rsidRDefault="004A5D2D"/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2022 года внедрены обновленные примерные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преподавания всех предметных областей, обеспечить соответствие услов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мониторинг использования обнов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4A5D2D" w:rsidRDefault="004A5D2D"/>
        </w:tc>
      </w:tr>
      <w:tr w:rsidR="004A5D2D">
        <w:trPr>
          <w:trHeight w:hRule="exact" w:val="24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ДОКУМ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70% обучающихся общеобразовательных организаций вовлечены в различные формы сопровождения и наставничества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 соответствии с разработанной методологией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общеобразовательных организаций, в том числе с применением лучших практик обмена опытом межд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 обучающимися и привлечением представителей работодателей к этой деятельности, к концу 2024 года не менее 70% обучающихся общеобразовательных организаций вовлечены в различные формы сопровождения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(2019 г. - 3 % обучающихся; 2020 г. - 10 %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обучающихся; 2021 г. - 20 % обучающихся; 2022 г. - 35 % обучающихся; 2023 г. - 50 % обучающихся; 2024 г. - 70 % обучающихся), что позволит создать условия для формирования активной гражданской позиции у каждого обучающегося, а также достичь цели и целевых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показателей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внедрены программы менторства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наставничеств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для обучающихся в рамках взаимодействия с предприятиями субъектов Российской Федерации.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разработанной методологией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2024 года не менее 70% обучающихся общеобразовательных организац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ий вовлечены в различные формы сопровождения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(2019 г. - 3 % обучающихся; 2020 г. - 10 % обучающихся; 2021 г. - 20 % обучающихся; 2022 г. - 35 % обучающихся; 2023 г. - 50 % обучающихся; 2024 г. - 70 % обучающихся), что позволит создать усло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вия для формирования активной гражданской позиции у каждого обучающегося, а также достичь цели и целевых показателей национального проекта "Образование" в части воспитания гармонично развитой и социально ответственной личности на основе духовно-нравственны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ценностей народов Российской Федерации, исторических и национально-культурных традиций.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Разработаны и внедрены программы менторства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наставничеств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для обучающихся в рамках взаимодействия с предприятиями субъектов Российской Федерации.</w:t>
            </w:r>
          </w:p>
          <w:p w:rsidR="004A5D2D" w:rsidRDefault="004A5D2D"/>
        </w:tc>
      </w:tr>
      <w:tr w:rsidR="004A5D2D">
        <w:trPr>
          <w:trHeight w:hRule="exact" w:val="24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4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270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тата федерального проекта (справочно из паспорта федерального проекта): 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адрового потенциала системы образования и расширения возможностей детей в освоении программ общего образования. Реализация мероприятий федерального проекта будет направлена на повышение доступности качественного, вариативного образования, что позволит поэт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апно достичь следующих результатов охвата организаций, реализующих программы начального, основного и среднего общего образования - реализуют общеобразовательные программы в сетевой форме, накопительным итогом: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г. – 3 %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г. – 10 %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20 %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35 %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50 %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70 % организаций.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4A5D2D" w:rsidRDefault="004A5D2D"/>
        </w:tc>
      </w:tr>
      <w:tr w:rsidR="004A5D2D">
        <w:trPr>
          <w:trHeight w:hRule="exact" w:val="26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3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4A5D2D" w:rsidRDefault="004A5D2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К концу 2024 года не менее чем 70 % общеобразовательных организаций реализуют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федерального проекта бу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- реализуют общеобразовательн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ые программы в сетевой форме, накопительным итогом: 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г. – 3 %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г. – 10 %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20 %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35 %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50 % организаций;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70 % организаций.</w:t>
            </w:r>
          </w:p>
          <w:p w:rsidR="004A5D2D" w:rsidRDefault="004A5D2D"/>
        </w:tc>
      </w:tr>
      <w:tr w:rsidR="004A5D2D">
        <w:trPr>
          <w:trHeight w:hRule="exact" w:val="18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просам управления развитием общеобразовательной организации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К концу 2024 года не менее чем в 70% общеобразовательных организаций обеспечено вовлечение общественно-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деловых объединений и участие представителей работодателей в принятии решений по вопросам управления развитием общеобразовательных организаций.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4A5D2D" w:rsidRDefault="004A5D2D"/>
        </w:tc>
      </w:tr>
      <w:tr w:rsidR="004A5D2D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 2024 года не менее чем в 70% общеобразовательных организаций обеспечено вовлечение общественно-деловых объединений и участие представителей работодателей в принятии решений по вопросам управления развитием общеобразовательных организаций. </w:t>
            </w:r>
          </w:p>
          <w:p w:rsidR="004A5D2D" w:rsidRDefault="004A5D2D"/>
        </w:tc>
      </w:tr>
      <w:tr w:rsidR="004A5D2D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A5D2D">
        <w:trPr>
          <w:trHeight w:hRule="exact" w:val="23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902" w:type="dxa"/>
            <w:gridSpan w:val="3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стика результата федерального проекта (справочно из паспорта федерального проекта): К концу 2024 года будут созданы не менее 230 тыс. новых мест в общеобразовательных организациях (продолжение реализации приоритетного проекта "Современная образовательная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реда для школьников"), что позволит повысить доступность и улучшить качество общего образования.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новых мест в общеобразовательных организациях осуществлено в рамках региональных программ, которые включают в себя мероприятия по модернизации инфрас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том числе оснащение новых мест в общеобразовательн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Региональные программы софинансируются из федерального бюджета, в том числе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рамках отдельной субсидии из федерального бюджета бюджетам субъектов Российской Федерации.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Актуализированы перечень средств обучения и воспитания, необходимых для реализации образовательных программ начального общего, основного общего и среднего общего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разования, соответствующих современным условиям обучения, необходимого оборудования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и воспитания.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екта): 31.12.2024</w:t>
            </w:r>
          </w:p>
          <w:p w:rsidR="004A5D2D" w:rsidRDefault="004A5D2D"/>
        </w:tc>
      </w:tr>
      <w:tr w:rsidR="004A5D2D">
        <w:trPr>
          <w:trHeight w:hRule="exact" w:val="23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902" w:type="dxa"/>
            <w:gridSpan w:val="3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</w:tr>
      <w:tr w:rsidR="004A5D2D">
        <w:trPr>
          <w:trHeight w:hRule="exact" w:val="97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МЕСТ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31.12.2020 - 450 МЕСТ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 МЕСТ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4A5D2D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4A5D2D" w:rsidRDefault="00015A6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4A5D2D" w:rsidRDefault="004A5D2D"/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100% организаций, реализующих общеобразовательные программы, проведена оценка качества образования на основе практики международных исследований качество подготовки обучающихся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</w:t>
            </w:r>
          </w:p>
        </w:tc>
      </w:tr>
      <w:tr w:rsidR="004A5D2D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</w:t>
            </w:r>
          </w:p>
        </w:tc>
      </w:tr>
      <w:tr w:rsidR="004A5D2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</w:t>
            </w:r>
          </w:p>
        </w:tc>
      </w:tr>
      <w:tr w:rsidR="004A5D2D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 Ямало-Ненецкого автономного округа,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ительно по адаптированным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229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26,19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26,19</w:t>
            </w:r>
          </w:p>
        </w:tc>
      </w:tr>
      <w:tr w:rsidR="004A5D2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26,19</w:t>
            </w:r>
          </w:p>
        </w:tc>
      </w:tr>
      <w:tr w:rsidR="004A5D2D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26,19</w:t>
            </w: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26,19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1547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16,98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80,56</w:t>
            </w:r>
          </w:p>
        </w:tc>
      </w:tr>
      <w:tr w:rsidR="004A5D2D">
        <w:trPr>
          <w:trHeight w:hRule="exact" w:val="1533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16,98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80,56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16,32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79,90</w:t>
            </w:r>
          </w:p>
        </w:tc>
      </w:tr>
      <w:tr w:rsidR="004A5D2D">
        <w:trPr>
          <w:trHeight w:hRule="exact" w:val="8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субъекта Российской Федерации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16,32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79,90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4A5D2D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16,98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80,56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Обеспечение устойчивого развития сельских территорий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устойчивого развития сельских территорий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848,08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847,53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1 213,73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4 229,63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7 138,97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848,08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847,53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1 213,73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4 229,63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7 138,97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848,08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847,53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1 213,73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4 229,63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7 138,97</w:t>
            </w:r>
          </w:p>
        </w:tc>
      </w:tr>
      <w:tr w:rsidR="004A5D2D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564,00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674,67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1 638,77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564,00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674,67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1 638,77</w:t>
            </w:r>
          </w:p>
        </w:tc>
      </w:tr>
      <w:tr w:rsidR="004A5D2D">
        <w:trPr>
          <w:trHeight w:hRule="exact" w:val="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1548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533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8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субъекта Российской Федерации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0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субъекта Российской Федерации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  <w:p w:rsidR="004A5D2D" w:rsidRDefault="004A5D2D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</w:tr>
      <w:tr w:rsidR="004A5D2D">
        <w:trPr>
          <w:trHeight w:hRule="exact" w:val="150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4 240,16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2 126,17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2 798,97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16 105,36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25 270,65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4 240,16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2 126,17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2 798,97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16 105,36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25 270,65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4 240,16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2 126,17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2 798,97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16 105,36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25 270,65</w:t>
            </w:r>
          </w:p>
        </w:tc>
      </w:tr>
      <w:tr w:rsidR="004A5D2D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270,35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1 040,88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1 561,31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2 872,54</w:t>
            </w:r>
          </w:p>
        </w:tc>
      </w:tr>
      <w:tr w:rsidR="004A5D2D">
        <w:trPr>
          <w:trHeight w:hRule="exact" w:val="25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4A5D2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A5D2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A5D2D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270,35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1 040,88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1 561,31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2 872,54</w:t>
            </w:r>
          </w:p>
        </w:tc>
      </w:tr>
      <w:tr w:rsidR="004A5D2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5 115,07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2 994,27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4 033,27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20 350,11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15,12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32 528,37</w:t>
            </w:r>
          </w:p>
        </w:tc>
      </w:tr>
      <w:tr w:rsidR="004A5D2D">
        <w:trPr>
          <w:trHeight w:hRule="exact" w:val="114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(Ямало-Ненецкий автономный округ)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5 115,07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2 994,27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4 033,27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20 350,11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15,12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32 528,37</w:t>
            </w:r>
          </w:p>
        </w:tc>
      </w:tr>
      <w:tr w:rsidR="004A5D2D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5 114,41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2 994,27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4 033,27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20 350,11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15,12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32 527,71</w:t>
            </w:r>
          </w:p>
        </w:tc>
      </w:tr>
      <w:tr w:rsidR="004A5D2D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696,61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1 623,05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2 254,15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4 617,40</w:t>
            </w:r>
          </w:p>
        </w:tc>
      </w:tr>
      <w:tr w:rsidR="004A5D2D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697,27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1 623,05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2 254,15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12,72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4 618,06</w:t>
            </w:r>
          </w:p>
        </w:tc>
      </w:tr>
      <w:tr w:rsidR="004A5D2D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A5D2D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4A5D2D" w:rsidRDefault="00015A6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4A5D2D" w:rsidRDefault="004A5D2D"/>
        </w:tc>
      </w:tr>
      <w:tr w:rsidR="004A5D2D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 w:rsidR="004A5D2D" w:rsidRDefault="004A5D2D"/>
        </w:tc>
      </w:tr>
      <w:tr w:rsidR="004A5D2D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 100% организаций, реализующих общеобразовательные программы, проведена оценка качества образования на осн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ове практики международных исследований качество подготовки обучающихся</w:t>
            </w:r>
          </w:p>
          <w:p w:rsidR="004A5D2D" w:rsidRDefault="004A5D2D"/>
        </w:tc>
      </w:tr>
      <w:tr w:rsidR="004A5D2D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A5D2D">
        <w:trPr>
          <w:trHeight w:hRule="exact" w:val="974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еднего профессионального и высшего образования, предприятий реального сектора экономики</w:t>
            </w:r>
          </w:p>
          <w:p w:rsidR="004A5D2D" w:rsidRDefault="004A5D2D"/>
        </w:tc>
      </w:tr>
      <w:tr w:rsidR="004A5D2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4A5D2D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муниципальных образований Ямало-Ненецкого автономного округа, в которых обновлено содержание и методы обучения предметной области «Технология» и других предметных областей, %</w:t>
            </w:r>
          </w:p>
          <w:p w:rsidR="004A5D2D" w:rsidRDefault="004A5D2D"/>
        </w:tc>
      </w:tr>
      <w:tr w:rsidR="004A5D2D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70% обучающихся общеобразовательных организаций Ямало-Ненецкого автономного округа вовлечены в различные формы сопровождения и наставничества</w:t>
            </w:r>
          </w:p>
          <w:p w:rsidR="004A5D2D" w:rsidRDefault="004A5D2D"/>
        </w:tc>
      </w:tr>
      <w:tr w:rsidR="004A5D2D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70% организаций Ямало-Ненецкого автономного округа,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4A5D2D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70% общеобразовательных организаций Ямало-Ненецкого автономно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округа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  <w:p w:rsidR="004A5D2D" w:rsidRDefault="004A5D2D"/>
        </w:tc>
      </w:tr>
      <w:tr w:rsidR="004A5D2D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  <w:p w:rsidR="004A5D2D" w:rsidRDefault="004A5D2D"/>
        </w:tc>
      </w:tr>
      <w:tr w:rsidR="004A5D2D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4A5D2D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  <w:p w:rsidR="004A5D2D" w:rsidRDefault="004A5D2D"/>
        </w:tc>
      </w:tr>
      <w:tr w:rsidR="004A5D2D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A5D2D">
        <w:trPr>
          <w:trHeight w:hRule="exact" w:val="71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  <w:p w:rsidR="004A5D2D" w:rsidRDefault="004A5D2D"/>
        </w:tc>
      </w:tr>
      <w:tr w:rsidR="004A5D2D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4A5D2D">
        <w:trPr>
          <w:trHeight w:hRule="exact" w:val="559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4A5D2D">
        <w:trPr>
          <w:trHeight w:hRule="exact" w:val="573"/>
        </w:trPr>
        <w:tc>
          <w:tcPr>
            <w:tcW w:w="11462" w:type="dxa"/>
            <w:gridSpan w:val="27"/>
          </w:tcPr>
          <w:p w:rsidR="004A5D2D" w:rsidRDefault="004A5D2D"/>
        </w:tc>
        <w:tc>
          <w:tcPr>
            <w:tcW w:w="4156" w:type="dxa"/>
            <w:gridSpan w:val="8"/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4A5D2D">
        <w:trPr>
          <w:trHeight w:hRule="exact" w:val="573"/>
        </w:trPr>
        <w:tc>
          <w:tcPr>
            <w:tcW w:w="11462" w:type="dxa"/>
            <w:gridSpan w:val="27"/>
          </w:tcPr>
          <w:p w:rsidR="004A5D2D" w:rsidRDefault="004A5D2D"/>
        </w:tc>
        <w:tc>
          <w:tcPr>
            <w:tcW w:w="4156" w:type="dxa"/>
            <w:gridSpan w:val="8"/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(Ямало-Ненецкий автономный округ)</w:t>
            </w:r>
          </w:p>
        </w:tc>
      </w:tr>
      <w:tr w:rsidR="004A5D2D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4A5D2D" w:rsidRDefault="00015A6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A5D2D">
        <w:trPr>
          <w:trHeight w:hRule="exact" w:val="717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Сформирована система мероприятий по формиро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ванию новых условий реализации предметной области "Технология" и других предметных областей, в том числе: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 перечень субъектов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Федерации, реализующих мероприятия по освоению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осуществлен отбор через профильную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4A5D2D">
        <w:trPr>
          <w:trHeight w:hRule="exact" w:val="18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информационную систему результатов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культуры, спорта и реального сектора экономики, потенциа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льно пригодных для реализации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областей; сформированы методические рекомендации освоения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обеспечено обновление содержания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примерных общеобразовательных программ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к концу 2019 года не менее чем в 10 субъектах Российской Федерации изучение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областей осуществляется на базе высокотехнологичных организаций, в том числе детских технопарков "Кванториум",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направлению «Технология» 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проведении курсовых мероприятий для педагогических работников автономного округа по обновленным прог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раммам повышения квалификации по направлению «Технология» и по вопросам образования лиц с инвалидностью и ОВЗ.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методических рекомендаций по реализации проекта «Урок «Технологии» на базе корпоративных ресурсных учебных центров  профессиональных образовательных организаций, в т.ч. детских технопарков «Кванториум»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25 % организаций, реализующих общеобразовательные программы и расположенных на территории Ямало-Ненецкого автономного округа, проведена оценка качества общего образования на основе практики международных исследований качества подготовки обучающих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оценки готовности первоклассников к  обучению 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школе (предметные, метапредметные, личностные результаты)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оценки образовательных достижений первоклассников (предметные, матепредметные, личностные)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Оценка готовности 5-классников к обучению в основной школе (предметные, метапредметные, личностные результаты).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Оценка динамики читательской грамотности обучающихся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Оценка умений решать проблемы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мониторинга реализации мероприятий по обеспечению возможности изучать предметную область «Технология» на высокоосна щенных ученико-местах, в т.ч. детских технопарков «Кванториум»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в 50 % организаций, реализующих общеобразовательные программы,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Оценка учебно-предметных достижений обучающихся   по технологии SAM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участия в компетентностной олимпиаде (читательской, математической, естественнонаучной грамотности), вошедших в перечень уровневых олимпиад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по технологиям сетевого взаимодействия и дистанционного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проведении курсовых мероприятий для педагогических работников по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ехнологиям сетевого взаимодействия и дистанционного обучения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65 организациях, реализующих общеобразовательные программы, в не менее чем 8 муниципальных образований обеспечена возможность изучать предметную область «Технология» и других предметных областей на базе организаций, имеющих высокооснащенные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ученико-места, в т.ч. детских технопарков «Кванториум»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мониторинга реализации мероприятий по обеспечению возможности изучать предметную область «Технология» на высокоосна щенных ученико-местах, в т.ч. детских технопарков «Кванториум»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в 75 % организаций, реализующих общеобразовательные программы и расположенных на территории Ямало-Ненецкого автономного округа, проведена оценка качества общего образования на основе практики международных исследований качества подготовки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ающихся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региональных и муниципальных реестров затруднений учащихся по предметам, сформированные на основании решаемости каждого задания каждым учеником (для школ, показывающих низкие результаты)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Региональный и муниципальныереестры затруднений учащихся по предметам, сформированные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основани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решаемости каждого задания каждым учеником (для школ, показывающих низкие результаты)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в 78 организациях, реализующих общеобразовательные программы, в не менее чем 10 муниципальных образований обеспечена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ученико-места, в т.ч. детских технопарков «Кванториум»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направлению «Технология» 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Приказ Приказ о проведении курсовых мероприятий для педагогических работников автономного округа по обновленным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раммам повышения квалификации по направлению «Технология» и по вопросам образования лиц с инвалидностью и ОВЗ.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100 % организаций,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проведении курсовых мероприятий для учителей-предметников и учителей начальных классов по читательской естественнонаучной и математической грамотности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ежегодного мониторинга внедрения обновленных примерных основных общеобразовательных программ, разработанных в рамках федерального проекта, во всех муниципальных образованиях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28.02.2023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Освоение предметной области «Технология» и других предметных областей, включая астрономию, химию, биологию, не менее 70% обучающихся на базе организаций, имеющих высокооснащенные ученико-места, в т.ч. детских технопарков «Кванториум»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Внесены изменения в образовательные программы учреждений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 предметной области "Технология"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материально-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технической базы, в том числе для реализации предметной области "Технология" и других предметных областей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. Сформированы методические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рекомендации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 xml:space="preserve">адаптированным общеобразовательным программам,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с учетом необходимости обеспечения условий дл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я обновления содержания и совершенствования методов обучения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и других предметных областей. 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мониторинг реализации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соответствии со сформированными методическими рекомендациями.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образовательных программ, в том числе по предметной области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"Технология" и другим предметным областям, методик преподавания и оценивания результатов освоения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разовательных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 концу 2019 года не менее чем в 130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обновлена материально-техническая база, созданы условия для реализации дистанционных программ обу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чения определенных категорий обучающихся.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0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щихся, в том числе на базе сетевого партнерства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Ш., 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щихся, в том числе на базе сетевого партнерства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О., 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щихся, в том числе на базе сетевого партнерства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И., 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3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щихся, в том числе на базе сетевого партнерства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А., 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Обновление содержания и методов обучения в организациях,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материально-техническая база в организациях, осуществляющих образовательную деятельность исключительно по адаптированным общеобразовательным программам, и по созданию условий для реализации дистан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ционных программ обучения определённых категорий обучающихся, в том числе на базе сетевого партнёрства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обновлению материальн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9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9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участия в компетентностных олимпиадах (читательской, математической, естественнонаучной грамотности), вошедших в перечень уровневых олимпиад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участия педагогов, реализующих адаптированные образовательные программы в конкурсах педагогического мастерства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обновлению 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5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направлению «Технология» и по вопросам образования лиц с инвалидностью и ОВЗ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72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соглашения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осуществляющих образовательную деятельность исключительно по адаптированным общеобразовательным программам при предоставлении субсидии из федерального бюджета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обновлению материальн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о-технической базы в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01.07.2020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направлению «Технология» 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9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соглашения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9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участия в компетентностных олимпиадах (читательской, математической, естественнонаучной грамотности), вошедших в перечень уровневых олимпиад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участия педагогов, реализующих адаптированные образовательные программы в конкурсах педагогического мастерства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обновлению материальн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направлению «Технология» и по вопросам образования лиц с инвалидностью и ОВЗ.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9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соглашения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9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6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профилей в общеобразовательных организациях, расположенных в сельской местности и малых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городах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По итогам отбора предоставлены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субсидии из федерального бюджета бюджетам субъектов Российской Федерации на создание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 в школах, распо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ложенных в сельской местности и малых городах. 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отбор заявок и заключение соглашений с высшими исполнительными органами государственной власти субъектов Российской Федерации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предоставлении субсидии из федерального бюджета бюджетам субъектов Рос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сийской Федерации на финансовое обеспечение мероприятий по созданию материально-технической базы для реализации основных и дополнительных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4A5D2D">
        <w:trPr>
          <w:trHeight w:hRule="exact" w:val="26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обновление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держания образовательных программ, методик преподавания и оценивания результатов освоения образовательных программ, дизайна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инфраструктуры, перечня средств обучения и учебно-методических комплексов.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ий в освоении обучающимися соответствующих образовательных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82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в соответствии с характеристиками результатов.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2019 года не менее чем в 2 тыс. школ, расположенных в сельской местности и малых городах, не менее чем в 10 субъектах Российской Федерации создана материально-техническая база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ифрового, естественнонаучного,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технического и гуманитарного профилей, с охватом не менее 100 тыс. детей, созданы условия для реализации дистанционных программ обучения, в том числе на базе сетевых форм.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0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7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материально-техническая базы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Включение вариативных модулей по применению современных технологий обучения (виртуальной и дополненной реальности) в учебном процессе в курсы повышения квалификации для учителей естественнонаучных дисциплин.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включении вариативных модулей по применению современных технологий обучения (виртуальной и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ополненной реальности) в учебном процессе в курсы повышения квалификации для учителей естественнонаучных дисциплин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мониторинга реализации мероприятий по обновлению материально-техническая базы для формирования у обучающихся современных технологических и гуманитарных навыков. Создана материально-технической базы для реализации основных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дополнительных 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01.10.2019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Обновление дополнительных профессиональных программ повышения квалификации и переподготовки педагогических работников по технологиям сетевого взаимодействия и дистанционного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обновлении дополнительных профессиональных программ повышения квал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ификации и переподготовки педагогических работников по технологиям сетевого взаимодействия и дистанционного обучения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обновлению материально-техническая базы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Введение в учебные планы элективных курсов направленных на формирование навыков читательской, математической и естественнонаучной грамотности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методических рекомендаций по включению в урок заданий развивающей направленности (читательской, математической и естественнонаучной направленности)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политики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Приказ приказ о проведении курсовых мероприятий для учителей-предметников и учителей начальных классов по читательской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естественнонаучной и математической грамотности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проведении курсовых мероприятий для учителей-предметников и учителей начальных классов по читательской естественнонаучной и математической грамотности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проведении курсовых мероприятий для учителей-предметников и учителей начальных классов по читательской естественнонаучной и математической грамотности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мониторинга реализации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расположенных в сельской местност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93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школ Ямало-Ненецкого автономного округа, в которых будет 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письмо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 на финансовое обеспечение мероприятий по созданию материально-технической базы для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типового инфраструктурного листа материально-технического оборудования Центров "Точка роста"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25.05.2021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школ Ямало-Ненецкого автономного округа, в которых будет 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сновных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типового инфраструктурного листа материально-технического оборудования Центров "Точка роста"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25.05.2024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школ Ямало-Ненецкого автономного округа, в которых будет 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типового инфраструктурного листа материально-технического оборудования Центров "Точка роста"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25.05.2023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школ Ямало-Ненецкого автономного округа, в которых будет 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автономного округа по обновленным программам повышения квалификации по направлению «Технология» и другим предметным областям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типового инфраструктурного листа материально-технического оборудования Центров "Точка роста"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25.05.2020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30.10.2018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школ Ямало-Ненецкого автономного округа, в которых будет 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типового инфраструктурного листа материально-технического оборудования Центров "Точка роста"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школ Ямало-Ненецкого автономного округа, в которых будет 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расположенных в сельской местности и малых городах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естественнонаучного, технического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Патока И. С., Начальник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типового инфраструктурного листа материально-технического оборудования Центров "Точка роста"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25.05.2022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Обеспечение устойчивого развития сельских территорий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56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0,395 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Справка о количестве созданных местах в общеобразовательных организациях, расположенных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сельской местности и поселках городского типа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56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места в общеобразовательных организациях, расположенных в сельской местности и поселках городского типа, для обучения не менее 0,395 тыс.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56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1,555 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материально-техническому обеспечению вновь созданных мест общеобразовательных организаций в сельской местности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кадровому обеспечению вновь созданных мест общеобразовательных организаций в сельской местности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материально-техническому обеспечению вновь созданных мест общеобразовательных организаций в сельской местности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кадровому обеспечению вновь созданных мест общеобразовательных организаций в сельской местности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материально-техническому обеспечению вновь созданных мест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Э., 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материально-техническому обеспечению вновь созданных мест Шурышкарского района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А., 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кадровому обеспечению вновь созданных мест в общеобразовательной организации сельской местности Тазовского района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Э., 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кадровому обеспечению вновь созданных мест в общеобразовательной организации сельской местности Шурышкарского района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А., 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Работа по организации образовательного процесса в открытых новых общеобразовательных организациях сельской местности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100% организаций, реализующих общеобразовательные программы, проведена оценка качества образования на основе практики международных исследований качество подготовки обучающихся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внешней оценки индивидуальных достижений обучающихся образовательных организаций Ямало-Ненецкого автономного округа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результатов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внешней оценки индивидуальных достижений обучающихся образовательных организаций Ямало-Ненецкого автономного округа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результатов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внешней оценки индивидуальных достижений обучающихся образовательных организаций Ямало-Ненецкого автономного округа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результатов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внешней оценки индивидуальных достижений обучающихся образовательных организаций Ямало-Ненецкого автономного округа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результатов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внешней оценки индивидуальных достижений обучающихся образовательных организаций Ямало-Ненецкого автономного округа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учителей-предметников и учителей начальных классов по читательской естественнонаучной и математической грамотности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результатов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обучающихся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педагогов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Курсовые мероприятия для педагогических работников автономного округа по ликвидации затруднений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50 % организаций,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обучающихся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педагогов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Курсовые мероприятия для педагогических работников автономного округа по ликвидации затруднений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25 % организаций,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обучающихся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педагогов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Курсовые мероприятия для педагогических работников автономного округа по ликвидации затруднений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75 % организаций,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обучающихся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педагогов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Курсовые мероприятия для педагогических работников автономного округа по ликвидации затруднений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15 % организаций,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обучающихся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Реестр затруднений педагогов по  результатам проведенной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Курсовые мероприятия для педагогических работников автономного округа по ликвидации затруднений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5.35.1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100 % организаций, реализующих общеобразовательные программы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Котенёва О.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реднего профессионального и высшего образования, предприятий реального сектора экономики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созданию трёх детских технопарков "Кванториум" в муниципальных образованиях Ямало-ненецкого автономного округа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материально-техническому и кадровому обеспечению трёх детских технопарков "Кванториум" в муниципальных образованиях Ямало-ненецкого автономного округа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Завоюра Н. В., Заместитель начальника управления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Ямало-Ненецком автономном округе для учителей предметной области "Технология" действует система повышения квалификации на базе детских технопарков "Кванториум" трёх муниципальных образований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Доля муниципальных образований Ямало-Ненецкого автономного округа, в которых обновлено содержание и методы обучения предметной области «Технология» и других предметных областей, %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26 школах 2 муниципальных образований  Ямало-Ненецкого автономного округа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муниципальных образований  и школ Ямало-Ненецкого автономного округа, в которых будет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общеобразовательными организациями в образовательную программу учреждения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39 школах 4 муниципальных образований  Ямало-Ненецкого автономного округа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муниципальных образований  и школ Ямало-Ненецкого автономного округа, в которых будет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общеобразовательными организациями в образовательную программу учреждения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52 школах 6 муниципальных образований  Ямало-Ненецкого автономного округа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146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муниципальных образований  и школ Ямало-Ненецкого автономного округа, в которых будет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147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общеобразовательными организациями в образовательную программу учреждения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65 школах 8 муниципальных образований  Ямало-Ненецкого автономного округа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муниципальных образований  и школ Ямало-Ненецкого автономного округа, в которых будет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общеобразовательными организациями в образовательную программу учреждения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78 школах 10 муниципальных образований  Ямало-Ненецкого автономного округа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муниципальных образований  и школ Ямало-Ненецкого автономного округа, в которых будет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общеобразовательными организациями в образовательную программу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91 школе 13 муниципальных образований  Ямало-Ненецкого автономного округа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Определение списка муниципальных образований  и школ Ямало-Ненецкого автономного округа, в которых будет обновлено содержание и методы обучения предметной области "Технология" и других предметных областей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общеобразовательными организациями в образовательную программу учреждения и рабочие программы учебных предметов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25.08.2024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70% обучающихся общеобразовательных организаций Ямало-Ненецкого автономного округа вовлечены в различные формы сопровождения и наставничества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70% обучающихся вовлече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вовлечению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50% обучающихся вовлече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организации мероприятий по вовлечению обучающихся 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3% обучающихся вовлечен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Изучение разработанной методологии наставничества обучающихся общеобразовательных организаций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Завоюра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10% обучающихся вовлече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курсов повышения квалификации для педагогов дополнительного образования по вовлечению обучающихся 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20% обучающихся вовлече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курсов повышения квалификации для педагогов дополнительного образования и классных руководителей по вовлечению обучающихся 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35% обучающихся вовлече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курсов повышения квалификации для педагогов дополнительного образования и классных руководителей по вовлечению обучающихся 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70% организаций Ямало-Ненецкого автономного округа,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реализации мероприятий по материально-техническому и кадровому обеспечению школ, реализующих программы начального, основного и среднего общего образования 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70 %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Обновление дополнительных профессиональных программ повышения квалификации и переподготовки педагогических работников по технологиям сетевого взаимодействия и дистанционного обучения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3 %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по технологиям сетевого взаимодействия и дистанционного обучения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10 %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по технологиям сетевого взаимодействия и дистанционного обучения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184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Курсовые мероприятия для педагогических работников по технологиям сетевого взаимодействия и дистанционного обучения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35 %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материально-техническому и кадровому обеспечению школ, реализующих программы начального, основного и среднего общего образования 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50 %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чем в 70% общеобразовательных организаций Ямало-Ненецкого автономного округа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ельной организации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70 %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Внедрение целевой модели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3 %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в школах округа мероприятий по реализации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10 %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Вовлечение общественно-деловых объединений и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Вовлечение общественно-деловых объединений и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35 %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Вовлечение общественно-деловых объединений и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50 %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6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2022 года внедрены обновленные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римерные основные общеобразовательные программы, разработанные в рамках федерального проекта, в общеобразовательные организации всех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реализации настоящего федерального проекта и национального проекта "Образование" в целом.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образовательной программы общего образования.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6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Обсуждение методических и дидактических материалов для педагогических работников по работе с обновлёнными примерными основными общеобразовательными программами, с учётом формирования, наряду с предметным знанием, универсальных компетенций и функциональной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грамотности, а также новой системы оценивания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работы в общеобразовательных организациях по внесению изменений в рабочие программы в соответствии с  обновлёнными примерными основными общеобразовательными программами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Внесены изменения в образовательные программы учреждений и рабочие программы учебных предметов с учетом обновленных примерных основных общеобразовательных программ, разработанных в рамках федерального проекта, в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всех муници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пальных образований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70% обучающихся общеобразовательных организаций вовлечены в различные формы сопровождения и наставничества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Завоюра Н. В., Заместитель начальника управления -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разработанной методологией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2024 год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не менее 70% обучающихся общеобразовательных организаций вовлечены в различные формы сопровождения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(2019 г. - 3 % обучающихся; 2020 г. - 10 % обучающихся; 2021 г. - 20 % обучающихся; 2022 г. - 35 % обучающихся; 2023 г. - 50 % 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2024 г. - 70 % обучающихся), что позволит создать условия для формирования активной гражданской позиции у каждого обучающегося, а также достичь цели и целевых показателей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 национально-культурных традиций. 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 внедрены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граммы менторства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наставничеств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для обучающихся в рамках взаимодействия с предприятиями субъектов Российской Федерации.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A5D2D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вовлечению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Вовлечение обучающихся общеобразовательных организаций в различные формы сопровождения и наставничества, в том числе с применением лучших практик обмена опытом между обучающимися и привлечением представителей работодателей 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учётом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70% обучающихся вовлече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 в различные формы сопровождения и наставничества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39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К концу 2024 года не менее чем 70 % общеобразовательных организаций реализуют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федерального пр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оекта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- реализуют общеобраз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овательные программы в сетевой форме, накопительным итогом: 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г. – 3 % организаций;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г. – 10 % организаций;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20 % организаций;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35 % организаций;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50 % организаций;</w:t>
            </w:r>
          </w:p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70 % организаций.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23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организаций Ямало-Ненецкого автономного округа, реализующих программы начального, основного и среднего общего образования, в которых будет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реализации мероприятий по материально-техническому и кадровому обеспечению школ, реализующих программы начального, основного и среднего общего образования 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70 % организаций Ямало-Ненецкого автономного округа, реализующих программы начального, основного и среднего общего образования, обеспечена возможность реализации общеобразовательных программ в сетевой форме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221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авоюра Н. В., Заместитель начальника управления - начальник отдела общего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 концу 2024 года не менее чем в 70% общеобразовательных организаций обеспечено вовлечение общественно-деловых объединений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участие представителей 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ботодателей в принятии решений по вопросам управления развитием общеобразовательных организаций.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4A5D2D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Определение списка общеобразовательных организаций, в которых будут  реализованы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70 %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места в общеобразовательных организациях (продолжение реализации приоритетного проекта «Современная образовательная среда для школьников») для обучения детей не менее 11,350 тыс.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15.1.2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Построено и введено в эксплуатацию не менее 2 школ с привлечением частных инвестиций на условиях возвратного финансирования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созданию школ с привлечением частных инвестиций на условиях возвратного финансирования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226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по созданию мест в общеобразовательных организациях Ямало-Ненецкого автономного округа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материально-технического обеспечения вновь созданных общеобразовательных учреждений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 по доставке материально-технического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кадровому обеспечению вновь созданных общеобразовательных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по материально-техническому оснащению вновь созданных мест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работы  с муниципальными образованиями по кадровому обеспечению созданных новых учреждений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мониторинга реализации мероприятий по созданию мест в общеобразовательных организациях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Анализ работы по созданию новых мест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материально-технического обеспечения вновь созданных общеобразовательных учреждений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 по доставке материально-технического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4A5D2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4A5D2D"/>
        </w:tc>
      </w:tr>
      <w:tr w:rsidR="004A5D2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A5D2D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А., 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4A5D2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работ по установке материально-технического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4A5D2D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0,450 тыс. мест в общеобразовательных организациях Ямало-Ненецкого автономного округа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Мирошников А. И.,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4A5D2D" w:rsidRDefault="004A5D2D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</w:t>
            </w:r>
          </w:p>
        </w:tc>
      </w:tr>
      <w:tr w:rsidR="004A5D2D">
        <w:trPr>
          <w:trHeight w:hRule="exact" w:val="573"/>
        </w:trPr>
        <w:tc>
          <w:tcPr>
            <w:tcW w:w="11462" w:type="dxa"/>
            <w:gridSpan w:val="27"/>
          </w:tcPr>
          <w:p w:rsidR="004A5D2D" w:rsidRDefault="004A5D2D"/>
        </w:tc>
        <w:tc>
          <w:tcPr>
            <w:tcW w:w="4156" w:type="dxa"/>
            <w:gridSpan w:val="8"/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4A5D2D">
        <w:trPr>
          <w:trHeight w:hRule="exact" w:val="573"/>
        </w:trPr>
        <w:tc>
          <w:tcPr>
            <w:tcW w:w="11462" w:type="dxa"/>
            <w:gridSpan w:val="27"/>
          </w:tcPr>
          <w:p w:rsidR="004A5D2D" w:rsidRDefault="004A5D2D"/>
        </w:tc>
        <w:tc>
          <w:tcPr>
            <w:tcW w:w="4156" w:type="dxa"/>
            <w:gridSpan w:val="8"/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(Ямало-Ненецкий автономный округ)</w:t>
            </w:r>
          </w:p>
        </w:tc>
      </w:tr>
      <w:tr w:rsidR="004A5D2D">
        <w:trPr>
          <w:trHeight w:hRule="exact" w:val="86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4A5D2D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4A5D2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4A5D2D">
        <w:trPr>
          <w:trHeight w:hRule="exact" w:val="702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 ПРОЦ</w:t>
            </w:r>
          </w:p>
        </w:tc>
      </w:tr>
      <w:tr w:rsidR="004A5D2D">
        <w:trPr>
          <w:trHeight w:hRule="exact" w:val="243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, процент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X- число субъектов Российской Федерации, в которых обновлено содержание и методы обучения предметной области "Технология"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других предметных областей</w:t>
            </w:r>
          </w:p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</w:t>
            </w:r>
          </w:p>
        </w:tc>
      </w:tr>
      <w:tr w:rsidR="004A5D2D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4A5D2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4A5D2D">
        <w:trPr>
          <w:trHeight w:hRule="exact" w:val="96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тыс. единиц  ТЫС ЕД</w:t>
            </w:r>
          </w:p>
        </w:tc>
      </w:tr>
      <w:tr w:rsidR="004A5D2D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тыс. единиц нарастающим итогом к 2018 году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ифрового, естественнонаучного и гуманитарного профилей</w:t>
            </w:r>
          </w:p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i-ом субъекте Российской Федерации</w:t>
            </w:r>
          </w:p>
        </w:tc>
      </w:tr>
      <w:tr w:rsidR="004A5D2D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5D2D" w:rsidRDefault="004A5D2D"/>
        </w:tc>
      </w:tr>
      <w:tr w:rsidR="004A5D2D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</w:t>
            </w:r>
          </w:p>
        </w:tc>
      </w:tr>
      <w:tr w:rsidR="004A5D2D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4A5D2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4A5D2D">
        <w:trPr>
          <w:trHeight w:hRule="exact" w:val="702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A5D2D" w:rsidRDefault="00015A6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 ТЫС ЧЕЛ</w:t>
            </w:r>
          </w:p>
        </w:tc>
      </w:tr>
      <w:tr w:rsidR="004A5D2D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4A5D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5D2D" w:rsidRDefault="00015A6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Yi- число обучающихся, охваченных реализа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цией основными и дополнительными общеобразовательными программами цифрового, естественнонаучного и гуманитарного профилей в i-ом субъекте Российской Федерации</w:t>
            </w:r>
          </w:p>
        </w:tc>
      </w:tr>
    </w:tbl>
    <w:p w:rsidR="00015A65" w:rsidRDefault="00015A65"/>
    <w:sectPr w:rsidR="00015A65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A5D2D"/>
    <w:rsid w:val="00015A65"/>
    <w:rsid w:val="004A5D2D"/>
    <w:rsid w:val="006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188</Pages>
  <Words>36303</Words>
  <Characters>206931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RP_Sovremennaya_shkola_(YAmalo-Neneckij_avtonomnyj_okrug)</vt:lpstr>
    </vt:vector>
  </TitlesOfParts>
  <Company>Stimulsoft Reports 2018.2.2 from 26 April 2018</Company>
  <LinksUpToDate>false</LinksUpToDate>
  <CharactersWithSpaces>242749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RP_Sovremennaya_shkola_(YAmalo-Neneckij_avtonomnyj_okrug)</dc:title>
  <dc:subject>RP_Sovremennaya_shkola_(YAmalo-Neneckij_avtonomnyj_okrug)</dc:subject>
  <dc:creator>Моргун</dc:creator>
  <cp:lastModifiedBy>Моргун</cp:lastModifiedBy>
  <cp:revision>2</cp:revision>
  <dcterms:created xsi:type="dcterms:W3CDTF">2019-06-10T09:45:00Z</dcterms:created>
  <dcterms:modified xsi:type="dcterms:W3CDTF">2019-06-10T09:45:00Z</dcterms:modified>
</cp:coreProperties>
</file>